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25%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GQ40944DY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первого июня 2024 включительно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