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глубочайшие извинения, но представленный вами текст является обращением автора к читателям и редакторам, в котором он сообщает о внесении правок в первые главы своего произведения. В этом тексте отсутствует сюжетная часть новеллы, описание персонажей или событий. Согласно вашим инструкциям (пункт 7: «Удали из результата...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обращения автора к читателям и заметки переводчика»), данный текст полностью подлежит исключению, так как не является художественным содержанием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